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B1342" w14:textId="77777777" w:rsidR="00C60901" w:rsidRPr="00E02B48" w:rsidRDefault="00C60901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b/>
          <w:color w:val="212121"/>
          <w:sz w:val="28"/>
          <w:szCs w:val="28"/>
          <w:shd w:val="clear" w:color="auto" w:fill="FFFFFF"/>
        </w:rPr>
      </w:pPr>
      <w:r w:rsidRPr="00E02B48">
        <w:rPr>
          <w:rFonts w:cstheme="minorHAnsi"/>
          <w:b/>
          <w:color w:val="212121"/>
          <w:sz w:val="28"/>
          <w:szCs w:val="28"/>
          <w:shd w:val="clear" w:color="auto" w:fill="FFFFFF"/>
        </w:rPr>
        <w:t>Brief information on the State Health Programs of the Ministry of Labour, Health and Social Affairs of Georgia</w:t>
      </w:r>
    </w:p>
    <w:p w14:paraId="7EFB651C" w14:textId="77777777" w:rsidR="00C60901" w:rsidRPr="00E02B48" w:rsidRDefault="00C60901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color w:val="212121"/>
          <w:shd w:val="clear" w:color="auto" w:fill="FFFFFF"/>
        </w:rPr>
      </w:pPr>
    </w:p>
    <w:p w14:paraId="0D62D31E" w14:textId="77777777" w:rsidR="00C60901" w:rsidRPr="00E02B48" w:rsidRDefault="00C60901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color w:val="212121"/>
          <w:shd w:val="clear" w:color="auto" w:fill="FFFFFF"/>
        </w:rPr>
      </w:pPr>
    </w:p>
    <w:p w14:paraId="0785C769" w14:textId="3FBAD600" w:rsidR="00C60901" w:rsidRPr="00E02B48" w:rsidRDefault="008B7824" w:rsidP="00E02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>Access to medical services for Georgian population is ensured through State Health Pr</w:t>
      </w:r>
      <w:r w:rsidR="00E02B48">
        <w:rPr>
          <w:rFonts w:cstheme="minorHAnsi"/>
          <w:color w:val="212121"/>
          <w:sz w:val="24"/>
          <w:szCs w:val="24"/>
          <w:shd w:val="clear" w:color="auto" w:fill="FFFFFF"/>
        </w:rPr>
        <w:t>ograms. According to the Law on “</w:t>
      </w:r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>State Budget of</w:t>
      </w:r>
      <w:r w:rsidR="00C60901" w:rsidRPr="00E02B48">
        <w:rPr>
          <w:rFonts w:cstheme="minorHAnsi"/>
          <w:color w:val="212121"/>
          <w:sz w:val="24"/>
          <w:szCs w:val="24"/>
          <w:shd w:val="clear" w:color="auto" w:fill="FFFFFF"/>
        </w:rPr>
        <w:t xml:space="preserve"> </w:t>
      </w:r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>Georgia 2018” budget allocations from the Ministry of Labour, Health and Social A</w:t>
      </w:r>
      <w:r w:rsidR="00E02B48">
        <w:rPr>
          <w:rFonts w:cstheme="minorHAnsi"/>
          <w:color w:val="212121"/>
          <w:sz w:val="24"/>
          <w:szCs w:val="24"/>
          <w:shd w:val="clear" w:color="auto" w:fill="FFFFFF"/>
        </w:rPr>
        <w:t>ffairs of Georgia are envisaged</w:t>
      </w:r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 xml:space="preserve"> for the state healthcare programs which amounts to </w:t>
      </w:r>
      <w:r w:rsidR="00C60901" w:rsidRPr="00E02B48">
        <w:rPr>
          <w:rFonts w:cstheme="minorHAnsi"/>
          <w:b/>
          <w:color w:val="212121"/>
          <w:sz w:val="24"/>
          <w:szCs w:val="24"/>
          <w:shd w:val="clear" w:color="auto" w:fill="FFFFFF"/>
        </w:rPr>
        <w:t xml:space="preserve">983 370 000 </w:t>
      </w:r>
      <w:r w:rsidRPr="00E02B48">
        <w:rPr>
          <w:rFonts w:cstheme="minorHAnsi"/>
          <w:b/>
          <w:color w:val="212121"/>
          <w:sz w:val="24"/>
          <w:szCs w:val="24"/>
          <w:shd w:val="clear" w:color="auto" w:fill="FFFFFF"/>
        </w:rPr>
        <w:t>GEL</w:t>
      </w:r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 xml:space="preserve">. Out of this amount, the budget of the </w:t>
      </w:r>
      <w:r w:rsidRPr="00E02B48">
        <w:rPr>
          <w:rFonts w:cstheme="minorHAnsi"/>
          <w:b/>
          <w:color w:val="212121"/>
          <w:sz w:val="24"/>
          <w:szCs w:val="24"/>
          <w:shd w:val="clear" w:color="auto" w:fill="FFFFFF"/>
        </w:rPr>
        <w:t>“Universal Health Coverage Program”</w:t>
      </w:r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 xml:space="preserve"> amounts to </w:t>
      </w:r>
      <w:r w:rsidRPr="00E02B48">
        <w:rPr>
          <w:rFonts w:cstheme="minorHAnsi"/>
          <w:b/>
          <w:color w:val="212121"/>
          <w:sz w:val="24"/>
          <w:szCs w:val="24"/>
          <w:shd w:val="clear" w:color="auto" w:fill="FFFFFF"/>
        </w:rPr>
        <w:t>704 000 000 GEL</w:t>
      </w:r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>, which covers basic services, including:</w:t>
      </w:r>
    </w:p>
    <w:p w14:paraId="71B3EF72" w14:textId="771CF016" w:rsidR="008B7824" w:rsidRPr="00E02B48" w:rsidRDefault="00E02B48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Planned </w:t>
      </w:r>
      <w:r w:rsidR="008B7824"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and emergency out-patient services;</w:t>
      </w:r>
    </w:p>
    <w:p w14:paraId="1EF5E133" w14:textId="4C30B2EE" w:rsidR="008B7824" w:rsidRPr="00E02B48" w:rsidRDefault="00E02B48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Planned </w:t>
      </w:r>
      <w:r w:rsidR="008B7824"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and emergency in-patient services,</w:t>
      </w:r>
    </w:p>
    <w:p w14:paraId="4E6919C4" w14:textId="7DB082DB" w:rsidR="00C60901" w:rsidRPr="00E02B48" w:rsidRDefault="00C60901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Cancer </w:t>
      </w:r>
      <w:r w:rsidR="00370E20"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diagnostics and 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treatment: chemotherapy, hormone and radiation therapy, and all the medical </w:t>
      </w:r>
      <w:r w:rsidR="00370E20"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examinations 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and medicines</w:t>
      </w:r>
      <w:r w:rsid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;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 </w:t>
      </w:r>
    </w:p>
    <w:p w14:paraId="304BE3C1" w14:textId="779908FC" w:rsidR="008B7824" w:rsidRPr="00E02B48" w:rsidRDefault="008B7824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Childbirth and caesarean section</w:t>
      </w:r>
      <w:r w:rsid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;</w:t>
      </w:r>
    </w:p>
    <w:p w14:paraId="6A6D329C" w14:textId="1C3EC1EC" w:rsidR="008B7824" w:rsidRPr="00E02B48" w:rsidRDefault="00C60901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T</w:t>
      </w:r>
      <w:r w:rsidR="008B7824"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he high-risk pregnant, obstetrician and clinic's inpatient medical service;</w:t>
      </w:r>
    </w:p>
    <w:p w14:paraId="57B0778A" w14:textId="759BEA8E" w:rsidR="008B7824" w:rsidRPr="00E02B48" w:rsidRDefault="00E02B48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Infectious diseases management.</w:t>
      </w:r>
      <w:bookmarkStart w:id="0" w:name="_GoBack"/>
      <w:bookmarkEnd w:id="0"/>
    </w:p>
    <w:p w14:paraId="5CD804D9" w14:textId="2C11E395" w:rsidR="008B7824" w:rsidRPr="00E02B48" w:rsidRDefault="008B7824" w:rsidP="00E02B48">
      <w:pPr>
        <w:pStyle w:val="HTMLPreformatted"/>
        <w:shd w:val="clear" w:color="auto" w:fill="FFFFFF"/>
        <w:spacing w:after="200"/>
        <w:jc w:val="both"/>
        <w:rPr>
          <w:rFonts w:asciiTheme="minorHAnsi" w:eastAsiaTheme="minorHAnsi" w:hAnsiTheme="minorHAnsi" w:cstheme="minorHAnsi"/>
          <w:i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In addition to Universal Health Coverage, </w:t>
      </w:r>
      <w:r w:rsidRPr="00E02B48">
        <w:rPr>
          <w:rFonts w:asciiTheme="minorHAnsi" w:eastAsiaTheme="minorHAnsi" w:hAnsiTheme="minorHAnsi" w:cstheme="minorHAnsi"/>
          <w:b/>
          <w:color w:val="212121"/>
          <w:sz w:val="24"/>
          <w:szCs w:val="24"/>
          <w:shd w:val="clear" w:color="auto" w:fill="FFFFFF"/>
        </w:rPr>
        <w:t>various targeted (public health and</w:t>
      </w:r>
      <w:r w:rsidR="006C055E" w:rsidRPr="00E02B48">
        <w:rPr>
          <w:rFonts w:asciiTheme="minorHAnsi" w:eastAsiaTheme="minorHAnsi" w:hAnsiTheme="minorHAnsi" w:cstheme="minorHAnsi"/>
          <w:b/>
          <w:color w:val="212121"/>
          <w:sz w:val="24"/>
          <w:szCs w:val="24"/>
          <w:shd w:val="clear" w:color="auto" w:fill="FFFFFF"/>
        </w:rPr>
        <w:t xml:space="preserve"> di</w:t>
      </w:r>
      <w:r w:rsidRPr="00E02B48">
        <w:rPr>
          <w:rFonts w:asciiTheme="minorHAnsi" w:eastAsiaTheme="minorHAnsi" w:hAnsiTheme="minorHAnsi" w:cstheme="minorHAnsi"/>
          <w:b/>
          <w:color w:val="212121"/>
          <w:sz w:val="24"/>
          <w:szCs w:val="24"/>
          <w:shd w:val="clear" w:color="auto" w:fill="FFFFFF"/>
        </w:rPr>
        <w:t>sease oriented) programs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 are applicable, with the total budget of </w:t>
      </w:r>
      <w:r w:rsidRPr="00E02B48">
        <w:rPr>
          <w:rFonts w:asciiTheme="minorHAnsi" w:eastAsiaTheme="minorHAnsi" w:hAnsiTheme="minorHAnsi" w:cstheme="minorHAnsi"/>
          <w:b/>
          <w:color w:val="212121"/>
          <w:sz w:val="24"/>
          <w:szCs w:val="24"/>
          <w:shd w:val="clear" w:color="auto" w:fill="FFFFFF"/>
        </w:rPr>
        <w:t>257 270 000 GEL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. Targeted programs cover medical services in a wide range of important areas such as</w:t>
      </w:r>
      <w:r w:rsidRPr="00E02B48">
        <w:rPr>
          <w:rFonts w:asciiTheme="minorHAnsi" w:eastAsiaTheme="minorHAnsi" w:hAnsiTheme="minorHAnsi" w:cstheme="minorHAnsi"/>
          <w:i/>
          <w:color w:val="212121"/>
          <w:sz w:val="24"/>
          <w:szCs w:val="24"/>
          <w:shd w:val="clear" w:color="auto" w:fill="FFFFFF"/>
        </w:rPr>
        <w:t xml:space="preserve"> Immunization, Tuberculosis, HIV / AIDS, Drug Abuse, Maternal and Child Health, Hepatitis C, Mental Health, Diabetes, </w:t>
      </w:r>
      <w:proofErr w:type="spellStart"/>
      <w:r w:rsidRPr="00E02B48">
        <w:rPr>
          <w:rFonts w:asciiTheme="minorHAnsi" w:eastAsiaTheme="minorHAnsi" w:hAnsiTheme="minorHAnsi" w:cstheme="minorHAnsi"/>
          <w:i/>
          <w:color w:val="212121"/>
          <w:sz w:val="24"/>
          <w:szCs w:val="24"/>
          <w:shd w:val="clear" w:color="auto" w:fill="FFFFFF"/>
        </w:rPr>
        <w:t>Onco</w:t>
      </w:r>
      <w:proofErr w:type="spellEnd"/>
      <w:r w:rsidR="00E518E7" w:rsidRPr="00E02B48">
        <w:rPr>
          <w:rFonts w:asciiTheme="minorHAnsi" w:eastAsiaTheme="minorHAnsi" w:hAnsiTheme="minorHAnsi" w:cstheme="minorHAnsi"/>
          <w:i/>
          <w:color w:val="212121"/>
          <w:sz w:val="24"/>
          <w:szCs w:val="24"/>
          <w:shd w:val="clear" w:color="auto" w:fill="FFFFFF"/>
        </w:rPr>
        <w:t>-</w:t>
      </w:r>
      <w:r w:rsidRPr="00E02B48">
        <w:rPr>
          <w:rFonts w:asciiTheme="minorHAnsi" w:eastAsiaTheme="minorHAnsi" w:hAnsiTheme="minorHAnsi" w:cstheme="minorHAnsi"/>
          <w:i/>
          <w:color w:val="212121"/>
          <w:sz w:val="24"/>
          <w:szCs w:val="24"/>
          <w:shd w:val="clear" w:color="auto" w:fill="FFFFFF"/>
        </w:rPr>
        <w:t>hematology, Dialysis and Kidney Transplantation, Palliative Care of Incurable Patients, Treatment of Patients with Rare Diseases, Urgent Emergency Assistance, Rural Doctor, Provision with Medications for Chronic Diseases</w:t>
      </w:r>
      <w:r w:rsidRPr="00E02B48">
        <w:rPr>
          <w:rFonts w:asciiTheme="minorHAnsi" w:eastAsiaTheme="minorHAnsi" w:hAnsiTheme="minorHAnsi" w:cstheme="minorHAnsi"/>
          <w:i/>
          <w:color w:val="212121"/>
          <w:sz w:val="24"/>
          <w:szCs w:val="24"/>
          <w:shd w:val="clear" w:color="auto" w:fill="FFFFFF"/>
          <w:lang w:val="ka-GE"/>
        </w:rPr>
        <w:t>,</w:t>
      </w:r>
      <w:r w:rsidRPr="00E02B48">
        <w:rPr>
          <w:rFonts w:asciiTheme="minorHAnsi" w:eastAsiaTheme="minorHAnsi" w:hAnsiTheme="minorHAnsi" w:cstheme="minorHAnsi"/>
          <w:i/>
          <w:color w:val="212121"/>
          <w:sz w:val="24"/>
          <w:szCs w:val="24"/>
          <w:shd w:val="clear" w:color="auto" w:fill="FFFFFF"/>
        </w:rPr>
        <w:t xml:space="preserve"> etc.</w:t>
      </w:r>
    </w:p>
    <w:p w14:paraId="16E4F6F7" w14:textId="28D56420" w:rsidR="008B7824" w:rsidRPr="00E02B48" w:rsidRDefault="008B7824" w:rsidP="00E02B48">
      <w:pPr>
        <w:pStyle w:val="HTMLPreformatted"/>
        <w:shd w:val="clear" w:color="auto" w:fill="FFFFFF"/>
        <w:spacing w:after="2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The cost of services that are not covered by other state programs is provided by the component of the </w:t>
      </w:r>
      <w:r w:rsidRPr="00E02B48">
        <w:rPr>
          <w:rFonts w:asciiTheme="minorHAnsi" w:eastAsiaTheme="minorHAnsi" w:hAnsiTheme="minorHAnsi" w:cstheme="minorHAnsi"/>
          <w:b/>
          <w:color w:val="212121"/>
          <w:sz w:val="24"/>
          <w:szCs w:val="24"/>
          <w:shd w:val="clear" w:color="auto" w:fill="FFFFFF"/>
        </w:rPr>
        <w:t>Individual Assistance of the State Program of Referral Service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, the mentioned state programs budget amounts to </w:t>
      </w:r>
      <w:r w:rsidRPr="00E02B48">
        <w:rPr>
          <w:rFonts w:asciiTheme="minorHAnsi" w:eastAsiaTheme="minorHAnsi" w:hAnsiTheme="minorHAnsi" w:cstheme="minorHAnsi"/>
          <w:b/>
          <w:color w:val="212121"/>
          <w:sz w:val="24"/>
          <w:szCs w:val="24"/>
          <w:shd w:val="clear" w:color="auto" w:fill="FFFFFF"/>
        </w:rPr>
        <w:t>22 300 000 GEL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 in 2018.</w:t>
      </w:r>
    </w:p>
    <w:p w14:paraId="63C80C6F" w14:textId="77777777" w:rsidR="00E02B48" w:rsidRDefault="008B7824" w:rsidP="00E02B48">
      <w:pPr>
        <w:pStyle w:val="HTMLPreformatted"/>
        <w:shd w:val="clear" w:color="auto" w:fill="FFFFFF"/>
        <w:spacing w:after="2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Besides, the above mentioned, </w:t>
      </w:r>
      <w:r w:rsidR="006C055E"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public health expenditures 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includes budget estimates of local municipalities, which is </w:t>
      </w:r>
      <w:r w:rsidRPr="00E02B48">
        <w:rPr>
          <w:rFonts w:asciiTheme="minorHAnsi" w:eastAsiaTheme="minorHAnsi" w:hAnsiTheme="minorHAnsi" w:cstheme="minorHAnsi"/>
          <w:b/>
          <w:color w:val="212121"/>
          <w:sz w:val="24"/>
          <w:szCs w:val="24"/>
          <w:shd w:val="clear" w:color="auto" w:fill="FFFFFF"/>
        </w:rPr>
        <w:t>50 000 000 GEL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 and covers various target or individual cases.</w:t>
      </w:r>
    </w:p>
    <w:p w14:paraId="7A8E9910" w14:textId="6B90BFA0" w:rsidR="008B7824" w:rsidRPr="00E02B48" w:rsidRDefault="008B7824" w:rsidP="00E02B48">
      <w:pPr>
        <w:pStyle w:val="HTMLPreformatted"/>
        <w:shd w:val="clear" w:color="auto" w:fill="FFFFFF"/>
        <w:spacing w:after="2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>Moreover, the Ministry of Internal Affairs of Georgia and the Ministry of Defense of Georgia, as well as their structural units provides corporate insurance for the employees and their family members</w:t>
      </w:r>
      <w:r w:rsidR="00E518E7" w:rsidRPr="00E02B4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 under the state budget</w:t>
      </w:r>
      <w:r w:rsidRPr="00E02B4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>.</w:t>
      </w:r>
    </w:p>
    <w:p w14:paraId="4B92EE80" w14:textId="77777777" w:rsidR="008B7824" w:rsidRPr="00E02B48" w:rsidRDefault="008B7824" w:rsidP="00E02B48">
      <w:pPr>
        <w:pStyle w:val="HTMLPreformatted"/>
        <w:shd w:val="clear" w:color="auto" w:fill="FFFFFF"/>
        <w:spacing w:after="2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Please see the detailed information on the appendix of the health budget growth dynamics, availability of services utilization, the customer satisfaction index and other additional information.</w:t>
      </w:r>
    </w:p>
    <w:p w14:paraId="5ED48FB9" w14:textId="3A5B3BF4" w:rsidR="008B7824" w:rsidRPr="00E02B48" w:rsidRDefault="008B7824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color w:val="212121"/>
          <w:shd w:val="clear" w:color="auto" w:fill="FFFFFF"/>
        </w:rPr>
      </w:pPr>
    </w:p>
    <w:p w14:paraId="1B9A8347" w14:textId="77777777" w:rsidR="00492496" w:rsidRPr="00E02B48" w:rsidRDefault="00492496">
      <w:pPr>
        <w:rPr>
          <w:rFonts w:cstheme="minorHAnsi"/>
        </w:rPr>
      </w:pPr>
    </w:p>
    <w:sectPr w:rsidR="00492496" w:rsidRPr="00E02B4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C5AE4"/>
    <w:multiLevelType w:val="hybridMultilevel"/>
    <w:tmpl w:val="CB9CD9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824"/>
    <w:rsid w:val="00370E20"/>
    <w:rsid w:val="00492496"/>
    <w:rsid w:val="006C055E"/>
    <w:rsid w:val="0072558D"/>
    <w:rsid w:val="008B7824"/>
    <w:rsid w:val="00C60901"/>
    <w:rsid w:val="00E02B48"/>
    <w:rsid w:val="00E5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AA54"/>
  <w15:docId w15:val="{D12CAB7F-3296-4676-8C16-4BEF8E20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824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B78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7824"/>
    <w:rPr>
      <w:rFonts w:ascii="Courier New" w:eastAsia="Times New Roman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824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8B78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782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2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55E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9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B9AC8-940E-4204-BB3D-CE945C8F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Darakhvelidze</dc:creator>
  <cp:lastModifiedBy>Maia Nikoleishvili</cp:lastModifiedBy>
  <cp:revision>2</cp:revision>
  <dcterms:created xsi:type="dcterms:W3CDTF">2018-02-23T07:56:00Z</dcterms:created>
  <dcterms:modified xsi:type="dcterms:W3CDTF">2018-02-23T07:56:00Z</dcterms:modified>
</cp:coreProperties>
</file>